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/>
      <w:bookmarkStart w:id="1" w:name="_GoBack"/>
      <w:r/>
      <w:bookmarkEnd w:id="1"/>
      <w:r/>
      <w:r/>
    </w:p>
    <w:p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fldChar w:fldCharType="begin"/>
      </w:r>
      <w:r>
        <w:rPr>
          <w:rFonts w:ascii="Times New Roman" w:hAnsi="Times New Roman"/>
          <w:b/>
          <w:sz w:val="28"/>
          <w:highlight w:val="white"/>
        </w:rPr>
        <w:instrText xml:space="preserve">HYPERLINK "https://interne</w:instrText>
      </w:r>
      <w:r>
        <w:rPr>
          <w:rFonts w:ascii="Times New Roman" w:hAnsi="Times New Roman"/>
          <w:b/>
          <w:sz w:val="28"/>
          <w:highlight w:val="white"/>
        </w:rPr>
        <w:instrText xml:space="preserve">t.garant.ru/#/document/12127578/paragraph/11340/doclist/3371/1/0/0/JTVCJTdCJTIybmVlZF9jb3JyZWN0aW9uJTIyJTNBZmFsc2UlMkMlMjJjb250ZXh0JTIyJTNBJTIyJTVDdTA0NDQlNUN1MDQzNyUyMCU1Q3UwNDQwJTVDdTA0NDQlMjAxMTQlMjAlNUN1MDQzZSU1Q3UwNDQyJTIwMjUuMDcuMjAwMiUyMiU3RCU1RA=="</w:instrText>
      </w:r>
      <w:r>
        <w:rPr>
          <w:rFonts w:ascii="Times New Roman" w:hAnsi="Times New Roman"/>
          <w:b/>
          <w:sz w:val="28"/>
          <w:highlight w:val="white"/>
        </w:rPr>
        <w:fldChar w:fldCharType="separate"/>
      </w:r>
      <w:r>
        <w:rPr>
          <w:rFonts w:ascii="Times New Roman" w:hAnsi="Times New Roman"/>
          <w:b/>
          <w:sz w:val="28"/>
          <w:highlight w:val="white"/>
        </w:rPr>
        <w:t xml:space="preserve">Федеральный закон от </w:t>
      </w:r>
      <w:r>
        <w:rPr>
          <w:rFonts w:ascii="Times New Roman" w:hAnsi="Times New Roman"/>
          <w:b/>
          <w:sz w:val="28"/>
          <w:shd w:val="clear" w:color="auto" w:fill="fffabb"/>
        </w:rPr>
        <w:t xml:space="preserve">25</w:t>
      </w:r>
      <w:r>
        <w:rPr>
          <w:rFonts w:ascii="Times New Roman" w:hAnsi="Times New Roman"/>
          <w:b/>
          <w:sz w:val="28"/>
          <w:highlight w:val="white"/>
        </w:rPr>
        <w:t xml:space="preserve"> </w:t>
      </w:r>
      <w:r>
        <w:rPr>
          <w:rFonts w:ascii="Times New Roman" w:hAnsi="Times New Roman"/>
          <w:b/>
          <w:sz w:val="28"/>
          <w:shd w:val="clear" w:color="auto" w:fill="fffabb"/>
        </w:rPr>
        <w:t xml:space="preserve">июля</w:t>
      </w:r>
      <w:r>
        <w:rPr>
          <w:rFonts w:ascii="Times New Roman" w:hAnsi="Times New Roman"/>
          <w:b/>
          <w:sz w:val="28"/>
          <w:highlight w:val="white"/>
        </w:rPr>
        <w:t xml:space="preserve"> </w:t>
      </w:r>
      <w:r>
        <w:rPr>
          <w:rFonts w:ascii="Times New Roman" w:hAnsi="Times New Roman"/>
          <w:b/>
          <w:sz w:val="28"/>
          <w:shd w:val="clear" w:color="auto" w:fill="fffabb"/>
        </w:rPr>
        <w:t xml:space="preserve">2002</w:t>
      </w:r>
      <w:r>
        <w:rPr>
          <w:rFonts w:ascii="Times New Roman" w:hAnsi="Times New Roman"/>
          <w:b/>
          <w:sz w:val="28"/>
          <w:highlight w:val="white"/>
        </w:rPr>
        <w:t xml:space="preserve"> г. </w:t>
      </w:r>
      <w:r>
        <w:rPr>
          <w:rFonts w:ascii="Times New Roman" w:hAnsi="Times New Roman"/>
          <w:b/>
          <w:sz w:val="28"/>
          <w:highlight w:val="white"/>
        </w:rPr>
        <w:t xml:space="preserve">№</w:t>
      </w:r>
      <w:r>
        <w:rPr>
          <w:rFonts w:ascii="Times New Roman" w:hAnsi="Times New Roman"/>
          <w:b/>
          <w:sz w:val="28"/>
          <w:highlight w:val="white"/>
        </w:rPr>
        <w:t xml:space="preserve"> </w:t>
      </w:r>
      <w:r>
        <w:rPr>
          <w:rFonts w:ascii="Times New Roman" w:hAnsi="Times New Roman"/>
          <w:b/>
          <w:sz w:val="28"/>
          <w:shd w:val="clear" w:color="auto" w:fill="fffabb"/>
        </w:rPr>
        <w:t xml:space="preserve">114</w:t>
      </w:r>
      <w:r>
        <w:rPr>
          <w:rFonts w:ascii="Times New Roman" w:hAnsi="Times New Roman"/>
          <w:b/>
          <w:sz w:val="28"/>
          <w:highlight w:val="white"/>
        </w:rPr>
        <w:t xml:space="preserve">-</w:t>
      </w:r>
      <w:r>
        <w:rPr>
          <w:rFonts w:ascii="Times New Roman" w:hAnsi="Times New Roman"/>
          <w:b/>
          <w:sz w:val="28"/>
          <w:shd w:val="clear" w:color="auto" w:fill="fffabb"/>
        </w:rPr>
        <w:t xml:space="preserve">ФЗ</w:t>
      </w:r>
      <w:r>
        <w:rPr>
          <w:rFonts w:ascii="Times New Roman" w:hAnsi="Times New Roman"/>
          <w:b/>
          <w:sz w:val="28"/>
          <w:highlight w:val="white"/>
        </w:rPr>
        <w:t xml:space="preserve"> </w:t>
      </w:r>
      <w:r>
        <w:rPr>
          <w:rFonts w:ascii="Times New Roman" w:hAnsi="Times New Roman"/>
          <w:b/>
          <w:sz w:val="28"/>
          <w:highlight w:val="white"/>
        </w:rPr>
        <w:t xml:space="preserve">«</w:t>
      </w:r>
      <w:r>
        <w:rPr>
          <w:rFonts w:ascii="Times New Roman" w:hAnsi="Times New Roman"/>
          <w:b/>
          <w:sz w:val="28"/>
          <w:highlight w:val="white"/>
        </w:rPr>
        <w:t xml:space="preserve">О противодействии экстремистской деятельности</w:t>
      </w:r>
      <w:r>
        <w:rPr>
          <w:rFonts w:ascii="Times New Roman" w:hAnsi="Times New Roman"/>
          <w:b/>
          <w:sz w:val="28"/>
          <w:highlight w:val="white"/>
        </w:rPr>
        <w:t xml:space="preserve">»</w:t>
      </w:r>
      <w:r>
        <w:rPr>
          <w:rFonts w:ascii="Times New Roman" w:hAnsi="Times New Roman"/>
          <w:b/>
          <w:sz w:val="28"/>
          <w:highlight w:val="white"/>
        </w:rPr>
        <w:fldChar w:fldCharType="end"/>
      </w:r>
      <w:r/>
    </w:p>
    <w:p>
      <w:pPr>
        <w:jc w:val="both"/>
        <w:spacing w:after="0"/>
        <w:rPr>
          <w:rStyle w:val="640"/>
          <w:rFonts w:ascii="Times New Roman" w:hAnsi="Times New Roman"/>
          <w:i w:val="0"/>
          <w:sz w:val="28"/>
          <w:shd w:val="clear" w:color="auto" w:fill="fffabb"/>
        </w:rPr>
      </w:pP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 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Уголовный кодекс Российской Федерации от 13 июня 1996 г. </w:t>
      </w:r>
      <w:r>
        <w:rPr>
          <w:rFonts w:ascii="Times New Roman" w:hAnsi="Times New Roman"/>
          <w:b/>
          <w:sz w:val="28"/>
          <w:highlight w:val="white"/>
        </w:rPr>
        <w:t xml:space="preserve">№</w:t>
      </w:r>
      <w:r>
        <w:rPr>
          <w:rFonts w:ascii="Times New Roman" w:hAnsi="Times New Roman"/>
          <w:b/>
          <w:sz w:val="28"/>
          <w:highlight w:val="white"/>
        </w:rPr>
        <w:t xml:space="preserve"> 63-ФЗ</w:t>
      </w:r>
      <w:r/>
    </w:p>
    <w:p>
      <w:pPr>
        <w:jc w:val="both"/>
        <w:spacing w:after="0"/>
        <w:rPr>
          <w:rStyle w:val="640"/>
          <w:rFonts w:ascii="Times New Roman" w:hAnsi="Times New Roman"/>
          <w:i w:val="0"/>
          <w:sz w:val="28"/>
          <w:shd w:val="clear" w:color="auto" w:fill="fffabb"/>
        </w:rPr>
      </w:pPr>
      <w:r>
        <w:rPr>
          <w:rStyle w:val="618"/>
          <w:rFonts w:ascii="Times New Roman" w:hAnsi="Times New Roman"/>
          <w:sz w:val="28"/>
          <w:highlight w:val="white"/>
        </w:rPr>
        <w:t xml:space="preserve">Статья 205. </w:t>
      </w:r>
      <w:r>
        <w:rPr>
          <w:rFonts w:ascii="Times New Roman" w:hAnsi="Times New Roman"/>
          <w:sz w:val="28"/>
          <w:highlight w:val="white"/>
        </w:rPr>
        <w:t xml:space="preserve">Террористический акт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Статья</w:t>
      </w:r>
      <w:r>
        <w:rPr>
          <w:rStyle w:val="618"/>
          <w:rFonts w:ascii="Times New Roman" w:hAnsi="Times New Roman"/>
          <w:sz w:val="28"/>
          <w:highlight w:val="white"/>
        </w:rPr>
        <w:t xml:space="preserve"> </w:t>
      </w: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280</w:t>
      </w:r>
      <w:r>
        <w:rPr>
          <w:rStyle w:val="618"/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highlight w:val="white"/>
        </w:rPr>
        <w:t xml:space="preserve"> Публичные призывы к осуществлению экстремистской деятельности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282. Возбуждение ненависти либо вражды, а равно унижение человеческого достоинства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Style w:val="618"/>
          <w:rFonts w:ascii="Times New Roman" w:hAnsi="Times New Roman"/>
          <w:sz w:val="28"/>
          <w:highlight w:val="white"/>
        </w:rPr>
        <w:t xml:space="preserve">Статья </w:t>
      </w:r>
      <w:r>
        <w:rPr>
          <w:rStyle w:val="614"/>
          <w:rFonts w:ascii="Times New Roman" w:hAnsi="Times New Roman"/>
          <w:color w:val="ffffff" w:themeColor="background1"/>
          <w:sz w:val="28"/>
          <w:shd w:val="clear" w:color="auto" w:fill="457ecd"/>
        </w:rPr>
        <w:t xml:space="preserve">357</w:t>
      </w:r>
      <w:r>
        <w:rPr>
          <w:rStyle w:val="618"/>
          <w:rFonts w:ascii="Times New Roman" w:hAnsi="Times New Roman"/>
          <w:color w:val="ffffff" w:themeColor="background1"/>
          <w:sz w:val="28"/>
          <w:highlight w:val="white"/>
        </w:rPr>
        <w:t xml:space="preserve">.</w:t>
      </w:r>
      <w:r>
        <w:rPr>
          <w:rFonts w:ascii="Times New Roman" w:hAnsi="Times New Roman"/>
          <w:color w:val="ffffff" w:themeColor="background1"/>
          <w:sz w:val="28"/>
          <w:highlight w:val="white"/>
        </w:rPr>
        <w:t xml:space="preserve"> </w:t>
      </w:r>
      <w:r>
        <w:rPr>
          <w:rFonts w:ascii="Times New Roman" w:hAnsi="Times New Roman"/>
          <w:sz w:val="28"/>
          <w:highlight w:val="white"/>
        </w:rPr>
        <w:t xml:space="preserve">Геноцид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272f"/>
          <w:sz w:val="28"/>
          <w:highlight w:val="white"/>
        </w:rPr>
        <w:t xml:space="preserve">Кодекс Российской Федерации об административных правонарушениях</w:t>
      </w:r>
      <w:r>
        <w:rPr>
          <w:rFonts w:ascii="Times New Roman" w:hAnsi="Times New Roman"/>
          <w:b/>
          <w:color w:val="22272f"/>
          <w:sz w:val="28"/>
          <w:highlight w:val="white"/>
        </w:rPr>
        <w:t xml:space="preserve"> </w:t>
      </w:r>
      <w:r>
        <w:rPr>
          <w:rFonts w:ascii="Times New Roman" w:hAnsi="Times New Roman"/>
          <w:b/>
          <w:color w:val="22272f"/>
          <w:sz w:val="28"/>
          <w:highlight w:val="white"/>
        </w:rPr>
        <w:t xml:space="preserve">от 30 декабря 2001 г. </w:t>
      </w:r>
      <w:r>
        <w:rPr>
          <w:rFonts w:ascii="Times New Roman" w:hAnsi="Times New Roman"/>
          <w:b/>
          <w:color w:val="22272f"/>
          <w:sz w:val="28"/>
          <w:highlight w:val="white"/>
        </w:rPr>
        <w:t xml:space="preserve">№</w:t>
      </w:r>
      <w:r>
        <w:rPr>
          <w:rFonts w:ascii="Times New Roman" w:hAnsi="Times New Roman"/>
          <w:b/>
          <w:color w:val="22272f"/>
          <w:sz w:val="28"/>
          <w:highlight w:val="white"/>
        </w:rPr>
        <w:t xml:space="preserve"> 195-ФЗ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Style w:val="618"/>
          <w:rFonts w:ascii="Times New Roman" w:hAnsi="Times New Roman"/>
          <w:sz w:val="28"/>
          <w:highlight w:val="white"/>
        </w:rPr>
        <w:t xml:space="preserve">Статья </w:t>
      </w: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5</w:t>
      </w:r>
      <w:r>
        <w:rPr>
          <w:rStyle w:val="618"/>
          <w:rFonts w:ascii="Times New Roman" w:hAnsi="Times New Roman"/>
          <w:sz w:val="28"/>
          <w:highlight w:val="white"/>
        </w:rPr>
        <w:t xml:space="preserve">.</w:t>
      </w: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26</w:t>
      </w:r>
      <w:r>
        <w:rPr>
          <w:rStyle w:val="618"/>
          <w:rFonts w:ascii="Times New Roman" w:hAnsi="Times New Roman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highlight w:val="white"/>
        </w:rPr>
        <w:t xml:space="preserve"> </w:t>
      </w:r>
      <w:r>
        <w:rPr>
          <w:rStyle w:val="640"/>
          <w:rFonts w:ascii="Times New Roman" w:hAnsi="Times New Roman"/>
          <w:i w:val="0"/>
          <w:sz w:val="28"/>
          <w:shd w:val="clear" w:color="auto" w:fill="fffabb"/>
        </w:rPr>
        <w:t xml:space="preserve">Нарушение</w:t>
      </w:r>
      <w:r>
        <w:rPr>
          <w:rFonts w:ascii="Times New Roman" w:hAnsi="Times New Roman"/>
          <w:sz w:val="28"/>
          <w:highlight w:val="white"/>
        </w:rPr>
        <w:t xml:space="preserve"> </w:t>
      </w:r>
      <w:r>
        <w:rPr>
          <w:rStyle w:val="626"/>
          <w:rFonts w:ascii="Times New Roman" w:hAnsi="Times New Roman"/>
          <w:color w:val="000000"/>
          <w:sz w:val="28"/>
          <w:highlight w:val="white"/>
        </w:rPr>
        <w:fldChar w:fldCharType="begin"/>
      </w:r>
      <w:r>
        <w:rPr>
          <w:rStyle w:val="626"/>
          <w:rFonts w:ascii="Times New Roman" w:hAnsi="Times New Roman"/>
          <w:color w:val="000000"/>
          <w:sz w:val="28"/>
          <w:highlight w:val="white"/>
        </w:rPr>
        <w:instrText xml:space="preserve">HYPERLINK "https://internet.garant.ru/#/document/171640/entry/2"</w:instrText>
      </w:r>
      <w:r>
        <w:rPr>
          <w:rStyle w:val="626"/>
          <w:rFonts w:ascii="Times New Roman" w:hAnsi="Times New Roman"/>
          <w:color w:val="000000"/>
          <w:sz w:val="28"/>
          <w:highlight w:val="white"/>
        </w:rPr>
        <w:fldChar w:fldCharType="separate"/>
      </w:r>
      <w:r>
        <w:rPr>
          <w:rStyle w:val="626"/>
          <w:rFonts w:ascii="Times New Roman" w:hAnsi="Times New Roman"/>
          <w:color w:val="000000"/>
          <w:sz w:val="28"/>
          <w:highlight w:val="white"/>
        </w:rPr>
        <w:t xml:space="preserve">законодательства</w:t>
      </w:r>
      <w:r>
        <w:rPr>
          <w:rStyle w:val="626"/>
          <w:rFonts w:ascii="Times New Roman" w:hAnsi="Times New Roman"/>
          <w:color w:val="000000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о свободе совести, свободе вероисповедания и о религиозных объединениях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20.2. Нарушение установленного порядка организации либо проведения собрания, митинга, демонстрации, шествия или пикетирования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Style w:val="618"/>
          <w:rFonts w:ascii="Times New Roman" w:hAnsi="Times New Roman"/>
          <w:sz w:val="28"/>
          <w:highlight w:val="white"/>
        </w:rPr>
        <w:t xml:space="preserve">Статья 20.3.</w:t>
      </w:r>
      <w:r>
        <w:rPr>
          <w:rFonts w:ascii="Times New Roman" w:hAnsi="Times New Roman"/>
          <w:sz w:val="28"/>
          <w:highlight w:val="white"/>
        </w:rPr>
        <w:t xml:space="preserve"> </w:t>
      </w:r>
      <w:r>
        <w:rPr>
          <w:rFonts w:ascii="Times New Roman" w:hAnsi="Times New Roman"/>
          <w:sz w:val="28"/>
          <w:highlight w:val="white"/>
        </w:rPr>
        <w:t xml:space="preserve"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/>
    </w:p>
    <w:p>
      <w:pPr>
        <w:jc w:val="both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Федеральны</w:t>
      </w:r>
      <w:r>
        <w:rPr>
          <w:rFonts w:ascii="Times New Roman" w:hAnsi="Times New Roman"/>
          <w:b/>
          <w:sz w:val="28"/>
        </w:rPr>
        <w:t xml:space="preserve">й</w:t>
      </w:r>
      <w:r>
        <w:rPr>
          <w:rFonts w:ascii="Times New Roman" w:hAnsi="Times New Roman"/>
          <w:b/>
          <w:sz w:val="28"/>
        </w:rPr>
        <w:t xml:space="preserve"> закон от 06.03.2006 г. № 35-ФЗ «О противодействии терроризму»</w:t>
      </w:r>
      <w:r/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Указ</w:t>
      </w:r>
      <w:r>
        <w:rPr>
          <w:rFonts w:ascii="Times New Roman" w:hAnsi="Times New Roman"/>
          <w:b/>
          <w:sz w:val="28"/>
        </w:rPr>
        <w:t xml:space="preserve"> Президента Российской Федерации от 15.02.2006 г. № 116 «О мерах</w:t>
      </w:r>
      <w:r>
        <w:rPr>
          <w:rFonts w:ascii="Times New Roman" w:hAnsi="Times New Roman"/>
          <w:b/>
          <w:sz w:val="28"/>
        </w:rPr>
        <w:t xml:space="preserve"> по противодействию терроризму»</w:t>
      </w:r>
      <w:r/>
    </w:p>
    <w:p>
      <w:pPr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</w:rPr>
        <w:t xml:space="preserve"> Указ Президента Российской Федерации от 02.07.2021 г. № 400 «О стратегии национальной безопасности Российской Федерации»</w:t>
      </w:r>
      <w:r/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 от 06.03.2006 г. № 35-ФЗ «О противодействии терроризму»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Российской Федерации от 15.02.2006 г. № 116 «О мерах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противодействию терроризму»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Указ Президента Российской Федерации от 02.07.2021 г. № 400 «О стратегии национальной безопасности Российской Федерации»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6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6"/>
    <w:link w:val="64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6"/>
    <w:link w:val="6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6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16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2"/>
    <w:next w:val="6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6"/>
    <w:link w:val="644"/>
    <w:uiPriority w:val="10"/>
    <w:rPr>
      <w:sz w:val="48"/>
      <w:szCs w:val="48"/>
    </w:rPr>
  </w:style>
  <w:style w:type="character" w:styleId="37">
    <w:name w:val="Subtitle Char"/>
    <w:basedOn w:val="616"/>
    <w:link w:val="642"/>
    <w:uiPriority w:val="11"/>
    <w:rPr>
      <w:sz w:val="24"/>
      <w:szCs w:val="24"/>
    </w:rPr>
  </w:style>
  <w:style w:type="paragraph" w:styleId="38">
    <w:name w:val="Quote"/>
    <w:basedOn w:val="602"/>
    <w:next w:val="6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2"/>
    <w:next w:val="6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6"/>
    <w:link w:val="42"/>
    <w:uiPriority w:val="99"/>
  </w:style>
  <w:style w:type="paragraph" w:styleId="44">
    <w:name w:val="Footer"/>
    <w:basedOn w:val="6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6"/>
    <w:link w:val="44"/>
    <w:uiPriority w:val="99"/>
  </w:style>
  <w:style w:type="paragraph" w:styleId="46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6"/>
    <w:uiPriority w:val="99"/>
    <w:unhideWhenUsed/>
    <w:rPr>
      <w:vertAlign w:val="superscript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6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1" w:default="1">
    <w:name w:val="Normal"/>
    <w:link w:val="602"/>
    <w:uiPriority w:val="0"/>
    <w:qFormat/>
    <w:rPr>
      <w:rFonts w:ascii="Calibri" w:hAnsi="Calibri"/>
    </w:rPr>
  </w:style>
  <w:style w:type="character" w:styleId="602" w:default="1">
    <w:name w:val="Normal"/>
    <w:link w:val="601"/>
    <w:rPr>
      <w:rFonts w:ascii="Calibri" w:hAnsi="Calibri"/>
    </w:rPr>
  </w:style>
  <w:style w:type="paragraph" w:styleId="603">
    <w:name w:val="toc 2"/>
    <w:next w:val="601"/>
    <w:link w:val="60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04">
    <w:name w:val="toc 2"/>
    <w:link w:val="603"/>
    <w:rPr>
      <w:rFonts w:ascii="XO Thames" w:hAnsi="XO Thames"/>
      <w:sz w:val="28"/>
    </w:rPr>
  </w:style>
  <w:style w:type="paragraph" w:styleId="605">
    <w:name w:val="toc 4"/>
    <w:next w:val="601"/>
    <w:link w:val="60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06">
    <w:name w:val="toc 4"/>
    <w:link w:val="605"/>
    <w:rPr>
      <w:rFonts w:ascii="XO Thames" w:hAnsi="XO Thames"/>
      <w:sz w:val="28"/>
    </w:rPr>
  </w:style>
  <w:style w:type="paragraph" w:styleId="607">
    <w:name w:val="toc 6"/>
    <w:next w:val="601"/>
    <w:link w:val="60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08">
    <w:name w:val="toc 6"/>
    <w:link w:val="607"/>
    <w:rPr>
      <w:rFonts w:ascii="XO Thames" w:hAnsi="XO Thames"/>
      <w:sz w:val="28"/>
    </w:rPr>
  </w:style>
  <w:style w:type="paragraph" w:styleId="609">
    <w:name w:val="toc 7"/>
    <w:next w:val="601"/>
    <w:link w:val="61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10">
    <w:name w:val="toc 7"/>
    <w:link w:val="609"/>
    <w:rPr>
      <w:rFonts w:ascii="XO Thames" w:hAnsi="XO Thames"/>
      <w:sz w:val="28"/>
    </w:rPr>
  </w:style>
  <w:style w:type="paragraph" w:styleId="611">
    <w:name w:val="Heading 3"/>
    <w:next w:val="601"/>
    <w:link w:val="6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12">
    <w:name w:val="Heading 3"/>
    <w:link w:val="611"/>
    <w:rPr>
      <w:rFonts w:ascii="XO Thames" w:hAnsi="XO Thames"/>
      <w:b/>
      <w:sz w:val="26"/>
    </w:rPr>
  </w:style>
  <w:style w:type="paragraph" w:styleId="613">
    <w:name w:val="highlightsearch"/>
    <w:basedOn w:val="615"/>
    <w:link w:val="614"/>
  </w:style>
  <w:style w:type="character" w:styleId="614">
    <w:name w:val="highlightsearch"/>
    <w:basedOn w:val="616"/>
    <w:link w:val="613"/>
  </w:style>
  <w:style w:type="paragraph" w:styleId="615">
    <w:name w:val="Default Paragraph Font"/>
    <w:link w:val="616"/>
  </w:style>
  <w:style w:type="character" w:styleId="616">
    <w:name w:val="Default Paragraph Font"/>
    <w:link w:val="615"/>
  </w:style>
  <w:style w:type="paragraph" w:styleId="617">
    <w:name w:val="s_10"/>
    <w:basedOn w:val="615"/>
    <w:link w:val="618"/>
  </w:style>
  <w:style w:type="character" w:styleId="618">
    <w:name w:val="s_10"/>
    <w:basedOn w:val="616"/>
    <w:link w:val="617"/>
  </w:style>
  <w:style w:type="paragraph" w:styleId="619">
    <w:name w:val="toc 3"/>
    <w:next w:val="601"/>
    <w:link w:val="62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20">
    <w:name w:val="toc 3"/>
    <w:link w:val="619"/>
    <w:rPr>
      <w:rFonts w:ascii="XO Thames" w:hAnsi="XO Thames"/>
      <w:sz w:val="28"/>
    </w:rPr>
  </w:style>
  <w:style w:type="paragraph" w:styleId="621">
    <w:name w:val="Heading 5"/>
    <w:next w:val="601"/>
    <w:link w:val="62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22">
    <w:name w:val="Heading 5"/>
    <w:link w:val="621"/>
    <w:rPr>
      <w:rFonts w:ascii="XO Thames" w:hAnsi="XO Thames"/>
      <w:b/>
      <w:sz w:val="22"/>
    </w:rPr>
  </w:style>
  <w:style w:type="paragraph" w:styleId="623">
    <w:name w:val="Heading 1"/>
    <w:next w:val="601"/>
    <w:link w:val="62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24">
    <w:name w:val="Heading 1"/>
    <w:link w:val="623"/>
    <w:rPr>
      <w:rFonts w:ascii="XO Thames" w:hAnsi="XO Thames"/>
      <w:b/>
      <w:sz w:val="32"/>
    </w:rPr>
  </w:style>
  <w:style w:type="paragraph" w:styleId="625">
    <w:name w:val="Hyperlink"/>
    <w:basedOn w:val="615"/>
    <w:link w:val="626"/>
    <w:rPr>
      <w:color w:val="0000ff"/>
      <w:u w:val="single"/>
    </w:rPr>
  </w:style>
  <w:style w:type="character" w:styleId="626">
    <w:name w:val="Hyperlink"/>
    <w:basedOn w:val="616"/>
    <w:link w:val="625"/>
    <w:rPr>
      <w:color w:val="0000ff"/>
      <w:u w:val="single"/>
    </w:rPr>
  </w:style>
  <w:style w:type="paragraph" w:styleId="627">
    <w:name w:val="Foot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Footnote"/>
    <w:link w:val="627"/>
    <w:rPr>
      <w:rFonts w:ascii="XO Thames" w:hAnsi="XO Thames"/>
      <w:sz w:val="22"/>
    </w:rPr>
  </w:style>
  <w:style w:type="paragraph" w:styleId="629">
    <w:name w:val="toc 1"/>
    <w:next w:val="601"/>
    <w:link w:val="63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30">
    <w:name w:val="toc 1"/>
    <w:link w:val="629"/>
    <w:rPr>
      <w:rFonts w:ascii="XO Thames" w:hAnsi="XO Thames"/>
      <w:b/>
      <w:sz w:val="28"/>
    </w:rPr>
  </w:style>
  <w:style w:type="paragraph" w:styleId="631">
    <w:name w:val="Header and Footer"/>
    <w:link w:val="632"/>
    <w:pPr>
      <w:jc w:val="both"/>
      <w:spacing w:line="240" w:lineRule="auto"/>
    </w:pPr>
    <w:rPr>
      <w:rFonts w:ascii="XO Thames" w:hAnsi="XO Thames"/>
      <w:sz w:val="20"/>
    </w:rPr>
  </w:style>
  <w:style w:type="character" w:styleId="632">
    <w:name w:val="Header and Footer"/>
    <w:link w:val="631"/>
    <w:rPr>
      <w:rFonts w:ascii="XO Thames" w:hAnsi="XO Thames"/>
      <w:sz w:val="20"/>
    </w:rPr>
  </w:style>
  <w:style w:type="paragraph" w:styleId="633">
    <w:name w:val="toc 9"/>
    <w:next w:val="601"/>
    <w:link w:val="63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34">
    <w:name w:val="toc 9"/>
    <w:link w:val="633"/>
    <w:rPr>
      <w:rFonts w:ascii="XO Thames" w:hAnsi="XO Thames"/>
      <w:sz w:val="28"/>
    </w:rPr>
  </w:style>
  <w:style w:type="paragraph" w:styleId="635">
    <w:name w:val="toc 8"/>
    <w:next w:val="601"/>
    <w:link w:val="63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36">
    <w:name w:val="toc 8"/>
    <w:link w:val="635"/>
    <w:rPr>
      <w:rFonts w:ascii="XO Thames" w:hAnsi="XO Thames"/>
      <w:sz w:val="28"/>
    </w:rPr>
  </w:style>
  <w:style w:type="paragraph" w:styleId="637">
    <w:name w:val="toc 5"/>
    <w:next w:val="601"/>
    <w:link w:val="63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38">
    <w:name w:val="toc 5"/>
    <w:link w:val="637"/>
    <w:rPr>
      <w:rFonts w:ascii="XO Thames" w:hAnsi="XO Thames"/>
      <w:sz w:val="28"/>
    </w:rPr>
  </w:style>
  <w:style w:type="paragraph" w:styleId="639">
    <w:name w:val="Emphasis"/>
    <w:basedOn w:val="615"/>
    <w:link w:val="640"/>
    <w:rPr>
      <w:i/>
    </w:rPr>
  </w:style>
  <w:style w:type="character" w:styleId="640">
    <w:name w:val="Emphasis"/>
    <w:basedOn w:val="616"/>
    <w:link w:val="639"/>
    <w:rPr>
      <w:i/>
    </w:rPr>
  </w:style>
  <w:style w:type="paragraph" w:styleId="641">
    <w:name w:val="Subtitle"/>
    <w:next w:val="601"/>
    <w:link w:val="64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42">
    <w:name w:val="Subtitle"/>
    <w:link w:val="641"/>
    <w:rPr>
      <w:rFonts w:ascii="XO Thames" w:hAnsi="XO Thames"/>
      <w:i/>
      <w:sz w:val="24"/>
    </w:rPr>
  </w:style>
  <w:style w:type="paragraph" w:styleId="643">
    <w:name w:val="Title"/>
    <w:next w:val="601"/>
    <w:link w:val="64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4">
    <w:name w:val="Title"/>
    <w:link w:val="643"/>
    <w:rPr>
      <w:rFonts w:ascii="XO Thames" w:hAnsi="XO Thames"/>
      <w:b/>
      <w:caps/>
      <w:sz w:val="40"/>
    </w:rPr>
  </w:style>
  <w:style w:type="paragraph" w:styleId="645">
    <w:name w:val="Heading 4"/>
    <w:next w:val="601"/>
    <w:link w:val="64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46">
    <w:name w:val="Heading 4"/>
    <w:link w:val="645"/>
    <w:rPr>
      <w:rFonts w:ascii="XO Thames" w:hAnsi="XO Thames"/>
      <w:b/>
      <w:sz w:val="24"/>
    </w:rPr>
  </w:style>
  <w:style w:type="paragraph" w:styleId="647">
    <w:name w:val="Heading 2"/>
    <w:next w:val="601"/>
    <w:link w:val="64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48">
    <w:name w:val="Heading 2"/>
    <w:link w:val="647"/>
    <w:rPr>
      <w:rFonts w:ascii="XO Thames" w:hAnsi="XO Thames"/>
      <w:b/>
      <w:sz w:val="28"/>
    </w:rPr>
  </w:style>
  <w:style w:type="table" w:styleId="64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2024-01-19T13:54:32Z</dcterms:modified>
</cp:coreProperties>
</file>